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0" w:lineRule="atLeast"/>
        <w:rPr>
          <w:b/>
          <w:color w:val="000080"/>
          <w:w w:val="150"/>
          <w:sz w:val="28"/>
          <w:szCs w:val="28"/>
        </w:rPr>
      </w:pPr>
      <w:r>
        <w:rPr>
          <w:b/>
          <w:color w:val="000080"/>
          <w:w w:val="150"/>
          <w:sz w:val="28"/>
          <w:szCs w:val="28"/>
        </w:rPr>
        <w:t xml:space="preserve">BR-PV-IVT </w:t>
      </w:r>
      <w:r>
        <w:rPr>
          <w:rFonts w:hint="eastAsia" w:hAnsi="宋体"/>
          <w:b/>
          <w:color w:val="000080"/>
          <w:w w:val="150"/>
          <w:sz w:val="28"/>
          <w:szCs w:val="28"/>
        </w:rPr>
        <w:t>冲击</w:t>
      </w:r>
      <w:r>
        <w:rPr>
          <w:rFonts w:hAnsi="宋体"/>
          <w:b/>
          <w:color w:val="000080"/>
          <w:w w:val="150"/>
          <w:sz w:val="28"/>
          <w:szCs w:val="28"/>
        </w:rPr>
        <w:t>电压测试</w:t>
      </w:r>
      <w:r>
        <w:rPr>
          <w:rFonts w:hint="eastAsia" w:hAnsi="宋体"/>
          <w:b/>
          <w:color w:val="000080"/>
          <w:w w:val="150"/>
          <w:sz w:val="28"/>
          <w:szCs w:val="28"/>
        </w:rPr>
        <w:t>仪</w:t>
      </w:r>
    </w:p>
    <w:p>
      <w:pPr>
        <w:spacing w:line="0" w:lineRule="atLeast"/>
        <w:rPr>
          <w:rStyle w:val="4"/>
          <w:b w:val="0"/>
          <w:kern w:val="0"/>
        </w:rPr>
      </w:pPr>
    </w:p>
    <w:p>
      <w:pPr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szCs w:val="21"/>
          <w:lang w:val="en-GB"/>
        </w:rPr>
        <w:t xml:space="preserve">适用标准：IEC 61730-2:2016 </w:t>
      </w:r>
      <w:r>
        <w:rPr>
          <w:rFonts w:ascii="微软雅黑" w:hAnsi="微软雅黑" w:eastAsia="微软雅黑"/>
          <w:szCs w:val="21"/>
          <w:lang w:val="en-GB"/>
        </w:rPr>
        <w:t xml:space="preserve">(2019) </w:t>
      </w:r>
      <w:r>
        <w:rPr>
          <w:rFonts w:hint="eastAsia" w:ascii="微软雅黑" w:hAnsi="微软雅黑" w:eastAsia="微软雅黑"/>
          <w:szCs w:val="21"/>
          <w:lang w:val="en-GB"/>
        </w:rPr>
        <w:t>MST 014、</w:t>
      </w:r>
      <w:r>
        <w:rPr>
          <w:rFonts w:ascii="微软雅黑" w:hAnsi="微软雅黑" w:eastAsia="微软雅黑"/>
          <w:szCs w:val="21"/>
          <w:lang w:val="en-GB"/>
        </w:rPr>
        <w:t>IEC 61730-1:2016 (2019)</w:t>
      </w:r>
    </w:p>
    <w:p>
      <w:pPr>
        <w:spacing w:line="0" w:lineRule="atLeast"/>
        <w:rPr>
          <w:szCs w:val="21"/>
        </w:rPr>
      </w:pPr>
      <w:r>
        <w:rPr>
          <w:rFonts w:hint="eastAsia" w:ascii="微软雅黑" w:hAnsi="微软雅黑" w:eastAsia="微软雅黑"/>
          <w:szCs w:val="21"/>
          <w:lang w:val="en-GB"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margin">
              <wp:posOffset>3344545</wp:posOffset>
            </wp:positionH>
            <wp:positionV relativeFrom="paragraph">
              <wp:posOffset>8255</wp:posOffset>
            </wp:positionV>
            <wp:extent cx="2595245" cy="2475230"/>
            <wp:effectExtent l="0" t="0" r="14605" b="1270"/>
            <wp:wrapNone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5245" cy="24752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tabs>
          <w:tab w:val="left" w:pos="2295"/>
        </w:tabs>
        <w:spacing w:line="0" w:lineRule="atLeast"/>
        <w:rPr>
          <w:szCs w:val="21"/>
        </w:rPr>
      </w:pPr>
      <w:r>
        <w:rPr>
          <w:szCs w:val="21"/>
        </w:rPr>
        <w:drawing>
          <wp:inline distT="0" distB="0" distL="0" distR="0">
            <wp:extent cx="3042285" cy="1351280"/>
            <wp:effectExtent l="0" t="0" r="5715" b="1270"/>
            <wp:docPr id="43" name="图片 43" descr="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23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111418" cy="1382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tabs>
          <w:tab w:val="left" w:pos="2295"/>
        </w:tabs>
        <w:spacing w:line="0" w:lineRule="atLeast"/>
        <w:rPr>
          <w:szCs w:val="21"/>
        </w:rPr>
      </w:pP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T =</w:t>
      </w:r>
      <w:r>
        <w:rPr>
          <w:rFonts w:hint="eastAsia" w:ascii="微软雅黑" w:hAnsi="微软雅黑" w:eastAsia="微软雅黑"/>
          <w:szCs w:val="21"/>
        </w:rPr>
        <w:t xml:space="preserve"> </w:t>
      </w:r>
      <w:r>
        <w:rPr>
          <w:rFonts w:hint="eastAsia" w:ascii="微软雅黑" w:hAnsi="微软雅黑" w:eastAsia="微软雅黑"/>
          <w:color w:val="000000"/>
          <w:szCs w:val="21"/>
        </w:rPr>
        <w:t>额定电压从</w:t>
      </w:r>
      <w:r>
        <w:rPr>
          <w:rFonts w:ascii="微软雅黑" w:hAnsi="微软雅黑" w:eastAsia="微软雅黑"/>
          <w:szCs w:val="21"/>
        </w:rPr>
        <w:t>30%</w:t>
      </w:r>
      <w:r>
        <w:rPr>
          <w:rFonts w:hint="eastAsia" w:ascii="微软雅黑" w:hAnsi="微软雅黑" w:eastAsia="微软雅黑"/>
          <w:szCs w:val="21"/>
        </w:rPr>
        <w:t>到</w:t>
      </w:r>
      <w:r>
        <w:rPr>
          <w:rFonts w:ascii="微软雅黑" w:hAnsi="微软雅黑" w:eastAsia="微软雅黑"/>
          <w:szCs w:val="21"/>
        </w:rPr>
        <w:t>90%</w:t>
      </w:r>
      <w:r>
        <w:rPr>
          <w:rFonts w:hint="eastAsia" w:ascii="微软雅黑" w:hAnsi="微软雅黑" w:eastAsia="微软雅黑"/>
          <w:szCs w:val="21"/>
        </w:rPr>
        <w:t>的时间段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  <w:lang w:val="fr-FR"/>
        </w:rPr>
        <w:t>上升沿时间</w:t>
      </w:r>
      <w:r>
        <w:rPr>
          <w:rFonts w:ascii="微软雅黑" w:hAnsi="微软雅黑" w:eastAsia="微软雅黑"/>
          <w:szCs w:val="21"/>
        </w:rPr>
        <w:t xml:space="preserve"> T1 = 1.67 × T = 1.2</w:t>
      </w:r>
      <w:r>
        <w:rPr>
          <w:rFonts w:ascii="微软雅黑" w:hAnsi="微软雅黑" w:eastAsia="微软雅黑"/>
          <w:kern w:val="0"/>
          <w:szCs w:val="21"/>
        </w:rPr>
        <w:t>μs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</w:rPr>
        <w:t>正脉宽时间</w:t>
      </w:r>
      <w:r>
        <w:rPr>
          <w:rFonts w:ascii="微软雅黑" w:hAnsi="微软雅黑" w:eastAsia="微软雅黑"/>
          <w:szCs w:val="21"/>
        </w:rPr>
        <w:t xml:space="preserve"> T2 = 50</w:t>
      </w:r>
      <w:r>
        <w:rPr>
          <w:rFonts w:ascii="微软雅黑" w:hAnsi="微软雅黑" w:eastAsia="微软雅黑"/>
          <w:kern w:val="0"/>
          <w:szCs w:val="21"/>
        </w:rPr>
        <w:t>μs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kern w:val="0"/>
          <w:szCs w:val="21"/>
        </w:rPr>
      </w:pPr>
      <w:r>
        <w:rPr>
          <w:rFonts w:ascii="微软雅黑" w:hAnsi="微软雅黑" w:eastAsia="微软雅黑"/>
          <w:szCs w:val="21"/>
        </w:rPr>
        <w:t>(</w:t>
      </w:r>
      <w:r>
        <w:rPr>
          <w:rFonts w:hint="eastAsia" w:ascii="微软雅黑" w:hAnsi="微软雅黑" w:eastAsia="微软雅黑"/>
          <w:szCs w:val="21"/>
        </w:rPr>
        <w:t>至额定电压值的50%</w:t>
      </w:r>
      <w:r>
        <w:rPr>
          <w:rFonts w:ascii="微软雅黑" w:hAnsi="微软雅黑" w:eastAsia="微软雅黑"/>
          <w:szCs w:val="21"/>
        </w:rPr>
        <w:t>)</w:t>
      </w:r>
    </w:p>
    <w:p>
      <w:pPr>
        <w:tabs>
          <w:tab w:val="left" w:pos="2295"/>
        </w:tabs>
        <w:spacing w:line="0" w:lineRule="atLeast"/>
        <w:rPr>
          <w:szCs w:val="21"/>
        </w:rPr>
      </w:pP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b/>
          <w:bCs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b/>
          <w:bCs/>
          <w:color w:val="FF0000"/>
          <w:szCs w:val="21"/>
          <w:lang w:val="en-GB"/>
        </w:rPr>
        <w:t>冲击电压发生器：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#脉冲输出电压：2.0~21</w:t>
      </w:r>
      <w:r>
        <w:rPr>
          <w:rFonts w:ascii="微软雅黑" w:hAnsi="微软雅黑" w:eastAsia="微软雅黑"/>
          <w:color w:val="FF0000"/>
          <w:szCs w:val="21"/>
          <w:lang w:val="en-GB"/>
        </w:rPr>
        <w:t>K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V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带载最大双面、叠瓦等高容组件，16</w:t>
      </w:r>
      <w:r>
        <w:rPr>
          <w:rFonts w:ascii="微软雅黑" w:hAnsi="微软雅黑" w:eastAsia="微软雅黑"/>
          <w:color w:val="FF0000"/>
          <w:szCs w:val="21"/>
          <w:lang w:val="en-GB"/>
        </w:rPr>
        <w:t>KV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加强绝缘*</w:t>
      </w:r>
      <w:r>
        <w:rPr>
          <w:rFonts w:ascii="微软雅黑" w:hAnsi="微软雅黑" w:eastAsia="微软雅黑"/>
          <w:color w:val="FF0000"/>
          <w:szCs w:val="21"/>
          <w:lang w:val="en-GB"/>
        </w:rPr>
        <w:t>1.29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海拔4000</w:t>
      </w:r>
      <w:r>
        <w:rPr>
          <w:rFonts w:ascii="微软雅黑" w:hAnsi="微软雅黑" w:eastAsia="微软雅黑"/>
          <w:color w:val="FF0000"/>
          <w:szCs w:val="21"/>
          <w:lang w:val="en-GB"/>
        </w:rPr>
        <w:t>m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因子=20</w:t>
      </w:r>
      <w:r>
        <w:rPr>
          <w:rFonts w:ascii="微软雅黑" w:hAnsi="微软雅黑" w:eastAsia="微软雅黑"/>
          <w:color w:val="FF0000"/>
          <w:szCs w:val="21"/>
          <w:lang w:val="en-GB"/>
        </w:rPr>
        <w:t>.64KV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（空载约25</w:t>
      </w:r>
      <w:r>
        <w:rPr>
          <w:rFonts w:ascii="微软雅黑" w:hAnsi="微软雅黑" w:eastAsia="微软雅黑"/>
          <w:color w:val="FF0000"/>
          <w:szCs w:val="21"/>
          <w:lang w:val="en-GB"/>
        </w:rPr>
        <w:t>KV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）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参考：海拔5</w:t>
      </w:r>
      <w:r>
        <w:rPr>
          <w:rFonts w:ascii="微软雅黑" w:hAnsi="微软雅黑" w:eastAsia="微软雅黑"/>
          <w:color w:val="FF0000"/>
          <w:szCs w:val="21"/>
          <w:lang w:val="en-GB"/>
        </w:rPr>
        <w:t>000m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因子1.48、6</w:t>
      </w:r>
      <w:r>
        <w:rPr>
          <w:rFonts w:ascii="微软雅黑" w:hAnsi="微软雅黑" w:eastAsia="微软雅黑"/>
          <w:color w:val="FF0000"/>
          <w:szCs w:val="21"/>
          <w:lang w:val="en-GB"/>
        </w:rPr>
        <w:t>000m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因子1</w:t>
      </w:r>
      <w:r>
        <w:rPr>
          <w:rFonts w:ascii="微软雅黑" w:hAnsi="微软雅黑" w:eastAsia="微软雅黑"/>
          <w:color w:val="FF0000"/>
          <w:szCs w:val="21"/>
          <w:lang w:val="en-GB"/>
        </w:rPr>
        <w:t>.70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、7000</w:t>
      </w:r>
      <w:r>
        <w:rPr>
          <w:rFonts w:ascii="微软雅黑" w:hAnsi="微软雅黑" w:eastAsia="微软雅黑"/>
          <w:color w:val="FF0000"/>
          <w:szCs w:val="21"/>
          <w:lang w:val="en-GB"/>
        </w:rPr>
        <w:t>m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因子1.95</w:t>
      </w:r>
      <w:r>
        <w:rPr>
          <w:rFonts w:ascii="微软雅黑" w:hAnsi="微软雅黑" w:eastAsia="微软雅黑"/>
          <w:color w:val="FF0000"/>
          <w:szCs w:val="21"/>
          <w:lang w:val="en-GB"/>
        </w:rPr>
        <w:t>…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IEC</w:t>
      </w:r>
      <w:r>
        <w:rPr>
          <w:rFonts w:ascii="微软雅黑" w:hAnsi="微软雅黑" w:eastAsia="微软雅黑"/>
          <w:color w:val="FF0000"/>
          <w:szCs w:val="21"/>
          <w:lang w:val="en-GB"/>
        </w:rPr>
        <w:t xml:space="preserve"> 61730-1</w:t>
      </w:r>
      <w:r>
        <w:rPr>
          <w:rFonts w:hint="eastAsia" w:ascii="微软雅黑" w:hAnsi="微软雅黑" w:eastAsia="微软雅黑"/>
          <w:color w:val="FF0000"/>
          <w:szCs w:val="21"/>
          <w:lang w:val="en-GB"/>
        </w:rPr>
        <w:t>:</w:t>
      </w:r>
      <w:r>
        <w:rPr>
          <w:rFonts w:ascii="微软雅黑" w:hAnsi="微软雅黑" w:eastAsia="微软雅黑"/>
          <w:color w:val="FF0000"/>
          <w:szCs w:val="21"/>
          <w:lang w:val="en-GB"/>
        </w:rPr>
        <w:t>2016 (2019)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szCs w:val="21"/>
          <w:lang w:val="en-GB"/>
        </w:rPr>
        <w:t>带载电压准确性：优于±3%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ascii="微软雅黑" w:hAnsi="微软雅黑" w:eastAsia="微软雅黑"/>
          <w:color w:val="FF0000"/>
          <w:szCs w:val="21"/>
          <w:lang w:val="en-GB"/>
        </w:rPr>
        <w:drawing>
          <wp:anchor distT="0" distB="0" distL="114300" distR="114300" simplePos="0" relativeHeight="251711488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36830</wp:posOffset>
            </wp:positionV>
            <wp:extent cx="2599690" cy="1950720"/>
            <wp:effectExtent l="0" t="0" r="10160" b="11430"/>
            <wp:wrapNone/>
            <wp:docPr id="520" name="图片 5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0" name="图片 520"/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99893" cy="1950457"/>
                    </a:xfrm>
                    <a:prstGeom prst="rect">
                      <a:avLst/>
                    </a:prstGeom>
                    <a:effectLst>
                      <a:softEdge rad="63500"/>
                    </a:effectLst>
                  </pic:spPr>
                </pic:pic>
              </a:graphicData>
            </a:graphic>
          </wp:anchor>
        </w:drawing>
      </w:r>
      <w:r>
        <w:rPr>
          <w:rFonts w:hint="eastAsia" w:ascii="微软雅黑" w:hAnsi="微软雅黑" w:eastAsia="微软雅黑"/>
          <w:szCs w:val="21"/>
          <w:lang w:val="en-GB"/>
        </w:rPr>
        <w:t>电压分辨率：10V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szCs w:val="21"/>
          <w:lang w:val="en-GB"/>
        </w:rPr>
        <w:t>极性：正/负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#带载波形符合：IEC 60060-1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（带载最大面积双面、叠瓦等组件）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上升沿：1.2μs±30%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color w:val="FF0000"/>
          <w:szCs w:val="21"/>
          <w:lang w:val="en-GB"/>
        </w:rPr>
      </w:pPr>
      <w:r>
        <w:rPr>
          <w:rFonts w:hint="eastAsia" w:ascii="微软雅黑" w:hAnsi="微软雅黑" w:eastAsia="微软雅黑"/>
          <w:color w:val="FF0000"/>
          <w:szCs w:val="21"/>
          <w:lang w:val="en-GB"/>
        </w:rPr>
        <w:t>正脉宽：50μs±20%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b/>
          <w:bCs/>
          <w:szCs w:val="21"/>
          <w:lang w:val="en-GB"/>
        </w:rPr>
        <w:t>高压测试棒</w:t>
      </w:r>
      <w:r>
        <w:rPr>
          <w:rFonts w:hint="eastAsia" w:ascii="微软雅黑" w:hAnsi="微软雅黑" w:eastAsia="微软雅黑"/>
          <w:szCs w:val="21"/>
          <w:lang w:val="en-GB"/>
        </w:rPr>
        <w:t>：衰減比例1000</w:t>
      </w:r>
      <w:r>
        <w:rPr>
          <w:rFonts w:ascii="微软雅黑" w:hAnsi="微软雅黑" w:eastAsia="微软雅黑"/>
          <w:szCs w:val="21"/>
          <w:lang w:val="en-GB"/>
        </w:rPr>
        <w:t>:1</w:t>
      </w:r>
      <w:r>
        <w:rPr>
          <w:rFonts w:hint="eastAsia" w:ascii="微软雅黑" w:hAnsi="微软雅黑" w:eastAsia="微软雅黑"/>
          <w:szCs w:val="21"/>
          <w:lang w:val="en-GB"/>
        </w:rPr>
        <w:t>、脉波电压＜27KVp-p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b/>
          <w:bCs/>
          <w:szCs w:val="21"/>
          <w:lang w:val="en-GB"/>
        </w:rPr>
        <w:t>示波器</w:t>
      </w:r>
      <w:r>
        <w:rPr>
          <w:rFonts w:hint="eastAsia" w:ascii="微软雅黑" w:hAnsi="微软雅黑" w:eastAsia="微软雅黑"/>
          <w:szCs w:val="21"/>
          <w:lang w:val="en-GB"/>
        </w:rPr>
        <w:t>：1台，显示波形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r>
        <w:rPr>
          <w:rFonts w:hint="eastAsia" w:ascii="微软雅黑" w:hAnsi="微软雅黑" w:eastAsia="微软雅黑"/>
          <w:b/>
          <w:bCs/>
          <w:szCs w:val="21"/>
          <w:lang w:val="en-GB"/>
        </w:rPr>
        <w:t>附件</w:t>
      </w:r>
      <w:r>
        <w:rPr>
          <w:rFonts w:hint="eastAsia" w:ascii="微软雅黑" w:hAnsi="微软雅黑" w:eastAsia="微软雅黑"/>
          <w:szCs w:val="21"/>
          <w:lang w:val="en-GB"/>
        </w:rPr>
        <w:t xml:space="preserve">：绝缘防护垫1张、绝缘手套2副 </w:t>
      </w:r>
      <w:r>
        <w:rPr>
          <w:rFonts w:ascii="微软雅黑" w:hAnsi="微软雅黑" w:eastAsia="微软雅黑"/>
          <w:szCs w:val="21"/>
          <w:lang w:val="en-GB"/>
        </w:rPr>
        <w:t xml:space="preserve">                  </w:t>
      </w:r>
      <w:r>
        <w:rPr>
          <w:rFonts w:hint="eastAsia" w:ascii="微软雅黑" w:hAnsi="微软雅黑" w:eastAsia="微软雅黑"/>
          <w:b/>
          <w:bCs/>
          <w:szCs w:val="21"/>
          <w:lang w:val="en-GB"/>
        </w:rPr>
        <w:t>负载匹配单元</w:t>
      </w:r>
      <w:r>
        <w:rPr>
          <w:rFonts w:hint="eastAsia" w:ascii="微软雅黑" w:hAnsi="微软雅黑" w:eastAsia="微软雅黑"/>
          <w:szCs w:val="21"/>
          <w:lang w:val="en-GB"/>
        </w:rPr>
        <w:t xml:space="preserve"> </w:t>
      </w:r>
      <w:r>
        <w:rPr>
          <w:rFonts w:ascii="微软雅黑" w:hAnsi="微软雅黑" w:eastAsia="微软雅黑"/>
          <w:szCs w:val="21"/>
          <w:lang w:val="en-GB"/>
        </w:rPr>
        <w:t xml:space="preserve">– </w:t>
      </w:r>
      <w:r>
        <w:rPr>
          <w:rFonts w:hint="eastAsia" w:ascii="微软雅黑" w:hAnsi="微软雅黑" w:eastAsia="微软雅黑"/>
          <w:szCs w:val="21"/>
          <w:lang w:val="en-GB"/>
        </w:rPr>
        <w:t>分接不同容性的组件</w:t>
      </w:r>
    </w:p>
    <w:p>
      <w:pPr>
        <w:tabs>
          <w:tab w:val="left" w:pos="2295"/>
        </w:tabs>
        <w:spacing w:line="0" w:lineRule="atLeast"/>
        <w:rPr>
          <w:rFonts w:ascii="微软雅黑" w:hAnsi="微软雅黑" w:eastAsia="微软雅黑"/>
          <w:szCs w:val="21"/>
          <w:lang w:val="en-GB"/>
        </w:rPr>
      </w:pPr>
      <w:bookmarkStart w:id="0" w:name="_GoBack"/>
      <w:bookmarkEnd w:id="0"/>
      <w:r>
        <w:rPr>
          <w:rFonts w:hint="eastAsia" w:ascii="微软雅黑" w:hAnsi="微软雅黑" w:eastAsia="微软雅黑"/>
          <w:b/>
          <w:bCs/>
          <w:szCs w:val="21"/>
          <w:lang w:val="en-GB"/>
        </w:rPr>
        <w:t>导电胶铜箔</w:t>
      </w:r>
      <w:r>
        <w:rPr>
          <w:rFonts w:hint="eastAsia" w:ascii="微软雅黑" w:hAnsi="微软雅黑" w:eastAsia="微软雅黑"/>
          <w:szCs w:val="21"/>
          <w:lang w:val="en-GB"/>
        </w:rPr>
        <w:t>：铜层厚度0.03~0.05mm、总厚0.05~0.07mm、导电胶电阻：&lt;1Ω@625mm</w:t>
      </w:r>
      <w:r>
        <w:rPr>
          <w:rFonts w:hint="eastAsia" w:ascii="微软雅黑" w:hAnsi="微软雅黑" w:eastAsia="微软雅黑"/>
          <w:szCs w:val="21"/>
          <w:vertAlign w:val="superscript"/>
          <w:lang w:val="en-GB"/>
        </w:rPr>
        <w:t>2</w:t>
      </w:r>
    </w:p>
    <w:tbl>
      <w:tblPr>
        <w:tblStyle w:val="2"/>
        <w:tblW w:w="9640" w:type="dxa"/>
        <w:tblInd w:w="-14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310"/>
        <w:gridCol w:w="2928"/>
        <w:gridCol w:w="3402"/>
      </w:tblGrid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55" w:hRule="atLeast"/>
        </w:trPr>
        <w:tc>
          <w:tcPr>
            <w:tcW w:w="3310" w:type="dxa"/>
            <w:vAlign w:val="center"/>
          </w:tcPr>
          <w:p>
            <w:pPr>
              <w:spacing w:line="0" w:lineRule="atLeast"/>
              <w:jc w:val="center"/>
              <w:rPr>
                <w:szCs w:val="21"/>
              </w:rPr>
            </w:pPr>
            <w:r>
              <w:drawing>
                <wp:inline distT="0" distB="0" distL="0" distR="0">
                  <wp:extent cx="1875155" cy="1064895"/>
                  <wp:effectExtent l="0" t="0" r="10795" b="1905"/>
                  <wp:docPr id="44" name="图片 44" descr="铜箔厚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4" name="图片 44" descr="铜箔厚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lum bright="6000" contrast="12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109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5155" cy="1064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928" w:type="dxa"/>
            <w:vAlign w:val="center"/>
          </w:tcPr>
          <w:p>
            <w:pPr>
              <w:spacing w:line="0" w:lineRule="atLeast"/>
              <w:jc w:val="center"/>
              <w:rPr>
                <w:szCs w:val="21"/>
              </w:rPr>
            </w:pPr>
            <w:r>
              <w:drawing>
                <wp:inline distT="0" distB="0" distL="0" distR="0">
                  <wp:extent cx="1828800" cy="1070610"/>
                  <wp:effectExtent l="0" t="0" r="0" b="15240"/>
                  <wp:docPr id="45" name="图片 45" descr="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" name="图片 45" descr="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lum bright="6000" contrast="24000"/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8800" cy="1070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2" w:type="dxa"/>
            <w:vAlign w:val="center"/>
          </w:tcPr>
          <w:p>
            <w:pPr>
              <w:spacing w:line="0" w:lineRule="atLeast"/>
              <w:jc w:val="center"/>
              <w:rPr>
                <w:szCs w:val="21"/>
              </w:rPr>
            </w:pPr>
            <w:r>
              <w:rPr>
                <w:szCs w:val="21"/>
              </w:rPr>
              <w:drawing>
                <wp:inline distT="0" distB="0" distL="0" distR="0">
                  <wp:extent cx="901065" cy="1064895"/>
                  <wp:effectExtent l="0" t="0" r="13335" b="1905"/>
                  <wp:docPr id="1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图片 14"/>
                          <pic:cNvPicPr>
                            <a:picLocks noChangeAspect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6594" cy="10709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77" w:hRule="atLeast"/>
        </w:trPr>
        <w:tc>
          <w:tcPr>
            <w:tcW w:w="3310" w:type="dxa"/>
            <w:vAlign w:val="center"/>
          </w:tcPr>
          <w:p>
            <w:pPr>
              <w:overflowPunct w:val="0"/>
              <w:spacing w:line="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铜层厚度0.041mm</w:t>
            </w:r>
          </w:p>
          <w:p>
            <w:pPr>
              <w:overflowPunct w:val="0"/>
              <w:spacing w:line="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（0.03~0.05mm）</w:t>
            </w:r>
          </w:p>
        </w:tc>
        <w:tc>
          <w:tcPr>
            <w:tcW w:w="2928" w:type="dxa"/>
            <w:vAlign w:val="center"/>
          </w:tcPr>
          <w:p>
            <w:pPr>
              <w:overflowPunct w:val="0"/>
              <w:spacing w:line="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铜箔+导电胶总厚0.066mm</w:t>
            </w:r>
          </w:p>
          <w:p>
            <w:pPr>
              <w:overflowPunct w:val="0"/>
              <w:spacing w:line="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（0.05~0.07mm）</w:t>
            </w:r>
          </w:p>
        </w:tc>
        <w:tc>
          <w:tcPr>
            <w:tcW w:w="3402" w:type="dxa"/>
            <w:vAlign w:val="center"/>
          </w:tcPr>
          <w:p>
            <w:pPr>
              <w:overflowPunct w:val="0"/>
              <w:spacing w:line="0" w:lineRule="atLeast"/>
              <w:jc w:val="center"/>
              <w:rPr>
                <w:rFonts w:ascii="微软雅黑" w:hAnsi="微软雅黑" w:eastAsia="微软雅黑"/>
                <w:szCs w:val="21"/>
                <w:vertAlign w:val="superscript"/>
              </w:rPr>
            </w:pPr>
            <w:r>
              <w:rPr>
                <w:rFonts w:hint="eastAsia" w:ascii="微软雅黑" w:hAnsi="微软雅黑" w:eastAsia="微软雅黑"/>
                <w:szCs w:val="21"/>
              </w:rPr>
              <w:t>导电胶</w:t>
            </w:r>
            <w:r>
              <w:rPr>
                <w:rFonts w:ascii="微软雅黑" w:hAnsi="微软雅黑" w:eastAsia="微软雅黑"/>
                <w:szCs w:val="21"/>
              </w:rPr>
              <w:t>电阻&lt;0.1Ω@625mm</w:t>
            </w:r>
            <w:r>
              <w:rPr>
                <w:rFonts w:ascii="微软雅黑" w:hAnsi="微软雅黑" w:eastAsia="微软雅黑"/>
                <w:szCs w:val="21"/>
                <w:vertAlign w:val="superscript"/>
              </w:rPr>
              <w:t>2</w:t>
            </w:r>
          </w:p>
          <w:p>
            <w:pPr>
              <w:overflowPunct w:val="0"/>
              <w:spacing w:line="0" w:lineRule="atLeast"/>
              <w:jc w:val="center"/>
              <w:rPr>
                <w:rFonts w:ascii="微软雅黑" w:hAnsi="微软雅黑" w:eastAsia="微软雅黑"/>
                <w:szCs w:val="21"/>
              </w:rPr>
            </w:pPr>
            <w:r>
              <w:rPr>
                <w:rFonts w:ascii="微软雅黑" w:hAnsi="微软雅黑" w:eastAsia="微软雅黑"/>
                <w:szCs w:val="21"/>
              </w:rPr>
              <w:t>（&lt;1</w:t>
            </w:r>
            <w:r>
              <w:rPr>
                <w:rFonts w:ascii="微软雅黑" w:hAnsi="微软雅黑" w:eastAsia="微软雅黑"/>
                <w:szCs w:val="21"/>
              </w:rPr>
              <w:sym w:font="Symbol" w:char="F057"/>
            </w:r>
            <w:r>
              <w:rPr>
                <w:rFonts w:ascii="微软雅黑" w:hAnsi="微软雅黑" w:eastAsia="微软雅黑"/>
                <w:szCs w:val="21"/>
              </w:rPr>
              <w:t>@625mm</w:t>
            </w:r>
            <w:r>
              <w:rPr>
                <w:rStyle w:val="5"/>
                <w:rFonts w:ascii="微软雅黑" w:hAnsi="微软雅黑" w:eastAsia="微软雅黑"/>
                <w:sz w:val="21"/>
                <w:szCs w:val="21"/>
                <w:vertAlign w:val="superscript"/>
              </w:rPr>
              <w:t>2</w:t>
            </w:r>
            <w:r>
              <w:rPr>
                <w:rFonts w:ascii="微软雅黑" w:hAnsi="微软雅黑" w:eastAsia="微软雅黑"/>
                <w:szCs w:val="21"/>
              </w:rPr>
              <w:t>）</w:t>
            </w:r>
          </w:p>
        </w:tc>
      </w:tr>
    </w:tbl>
    <w:p/>
    <w:sectPr>
      <w:pgSz w:w="11906" w:h="16838"/>
      <w:pgMar w:top="1440" w:right="1266" w:bottom="1440" w:left="118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171520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4">
    <w:name w:val="bluebold1"/>
    <w:uiPriority w:val="0"/>
    <w:rPr>
      <w:rFonts w:eastAsia="宋体"/>
      <w:b/>
      <w:bCs/>
      <w:color w:val="4087AD"/>
      <w:kern w:val="2"/>
      <w:sz w:val="24"/>
      <w:szCs w:val="24"/>
      <w:lang w:val="en-US" w:eastAsia="zh-CN" w:bidi="ar-SA"/>
    </w:rPr>
  </w:style>
  <w:style w:type="character" w:customStyle="1" w:styleId="5">
    <w:name w:val="SUPerscript"/>
    <w:qFormat/>
    <w:uiPriority w:val="0"/>
    <w:rPr>
      <w:rFonts w:eastAsia="宋体"/>
      <w:kern w:val="0"/>
      <w:position w:val="6"/>
      <w:sz w:val="16"/>
      <w:szCs w:val="16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customXml" Target="../customXml/item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2014-10-29T12:08:00Z</dcterms:created>
  <dc:creator>Administrator</dc:creator>
  <cp:lastModifiedBy>小宝妈妈</cp:lastModifiedBy>
  <dcterms:modified xsi:type="dcterms:W3CDTF">2020-10-10T03:27:42Z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